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37C78" w:rsidRPr="00342EAF" w:rsidRDefault="00DE124A" w:rsidP="00342EAF">
      <w:pPr>
        <w:pStyle w:val="Heading1"/>
        <w:jc w:val="center"/>
      </w:pPr>
      <w:r>
        <w:t>Celebrating Diversity Lesson Plan</w:t>
      </w:r>
    </w:p>
    <w:p w:rsidR="00137C78" w:rsidRDefault="00137C78" w:rsidP="00137C78">
      <w:pPr>
        <w:jc w:val="center"/>
        <w:rPr>
          <w:b/>
          <w:bCs/>
        </w:rPr>
      </w:pPr>
    </w:p>
    <w:p w:rsidR="002E2B5B" w:rsidRDefault="00137C78" w:rsidP="009D65FA">
      <w:pPr>
        <w:pStyle w:val="Heading2"/>
      </w:pPr>
      <w:r w:rsidRPr="00342EAF">
        <w:t>Section One: Overview</w:t>
      </w:r>
    </w:p>
    <w:p w:rsidR="009D65FA" w:rsidRPr="009D65FA" w:rsidRDefault="009D65FA" w:rsidP="009D65FA">
      <w:pPr>
        <w:rPr>
          <w:sz w:val="12"/>
          <w:szCs w:val="12"/>
        </w:rPr>
      </w:pPr>
    </w:p>
    <w:p w:rsidR="00137C78" w:rsidRDefault="00137C78" w:rsidP="00137C78">
      <w:pPr>
        <w:rPr>
          <w:i/>
          <w:iCs/>
          <w:color w:val="000000" w:themeColor="text1"/>
        </w:rPr>
      </w:pPr>
      <w:r w:rsidRPr="00814319">
        <w:rPr>
          <w:i/>
          <w:iCs/>
          <w:color w:val="000000" w:themeColor="text1"/>
        </w:rPr>
        <w:t>Quickly orients you to the lesson’s focus, learner profile, and materials. Use this section to confirm the lesson’s goals and ensure you have the right resources before teaching.</w:t>
      </w:r>
    </w:p>
    <w:p w:rsidR="009D65FA" w:rsidRPr="009D65FA" w:rsidRDefault="009D65FA" w:rsidP="00137C78">
      <w:pPr>
        <w:rPr>
          <w:i/>
          <w:iCs/>
          <w:color w:val="000000" w:themeColor="text1"/>
          <w:sz w:val="12"/>
          <w:szCs w:val="12"/>
        </w:rPr>
      </w:pPr>
    </w:p>
    <w:p w:rsidR="00137C78" w:rsidRDefault="00137C78" w:rsidP="00342EAF">
      <w:pPr>
        <w:pStyle w:val="Heading3"/>
      </w:pPr>
      <w:r w:rsidRPr="00B24B4B">
        <w:t>Lesson Overview</w:t>
      </w:r>
    </w:p>
    <w:p w:rsidR="009D65FA" w:rsidRPr="009D65FA" w:rsidRDefault="009D65FA" w:rsidP="009D65FA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5"/>
        <w:gridCol w:w="6481"/>
      </w:tblGrid>
      <w:tr w:rsidR="00137C78" w:rsidTr="00927689">
        <w:tc>
          <w:tcPr>
            <w:tcW w:w="2535" w:type="dxa"/>
          </w:tcPr>
          <w:p w:rsidR="00137C78" w:rsidRPr="00820972" w:rsidRDefault="00137C78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>Title</w:t>
            </w:r>
          </w:p>
          <w:p w:rsidR="00137C78" w:rsidRPr="00820972" w:rsidRDefault="00137C78" w:rsidP="00820972">
            <w:pPr>
              <w:rPr>
                <w:b/>
                <w:bCs/>
              </w:rPr>
            </w:pPr>
          </w:p>
        </w:tc>
        <w:tc>
          <w:tcPr>
            <w:tcW w:w="6481" w:type="dxa"/>
          </w:tcPr>
          <w:p w:rsidR="002A7BF6" w:rsidRDefault="00000000">
            <w:r>
              <w:t>Celebrating Diversity</w:t>
            </w:r>
          </w:p>
        </w:tc>
      </w:tr>
      <w:tr w:rsidR="00137C78" w:rsidTr="00927689">
        <w:tc>
          <w:tcPr>
            <w:tcW w:w="2535" w:type="dxa"/>
          </w:tcPr>
          <w:p w:rsidR="00137C78" w:rsidRPr="00820972" w:rsidRDefault="00137C78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>Topic</w:t>
            </w:r>
          </w:p>
        </w:tc>
        <w:tc>
          <w:tcPr>
            <w:tcW w:w="6481" w:type="dxa"/>
          </w:tcPr>
          <w:p w:rsidR="002A7BF6" w:rsidRDefault="00000000">
            <w:r>
              <w:t>Cultural Festivals</w:t>
            </w:r>
            <w:r>
              <w:br/>
            </w:r>
          </w:p>
        </w:tc>
      </w:tr>
      <w:tr w:rsidR="00137C78" w:rsidTr="00927689">
        <w:tc>
          <w:tcPr>
            <w:tcW w:w="2535" w:type="dxa"/>
          </w:tcPr>
          <w:p w:rsidR="00137C78" w:rsidRPr="00820972" w:rsidRDefault="00137C78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>Age Group</w:t>
            </w:r>
          </w:p>
          <w:p w:rsidR="00137C78" w:rsidRPr="00820972" w:rsidRDefault="00137C78" w:rsidP="00820972">
            <w:pPr>
              <w:rPr>
                <w:b/>
                <w:bCs/>
              </w:rPr>
            </w:pPr>
          </w:p>
        </w:tc>
        <w:tc>
          <w:tcPr>
            <w:tcW w:w="6481" w:type="dxa"/>
          </w:tcPr>
          <w:p w:rsidR="002A7BF6" w:rsidRDefault="00000000">
            <w:r>
              <w:t>15–17</w:t>
            </w:r>
          </w:p>
        </w:tc>
      </w:tr>
      <w:tr w:rsidR="00137C78" w:rsidTr="00927689">
        <w:tc>
          <w:tcPr>
            <w:tcW w:w="2535" w:type="dxa"/>
          </w:tcPr>
          <w:p w:rsidR="00137C78" w:rsidRPr="00820972" w:rsidRDefault="00137C78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>Class Size</w:t>
            </w:r>
          </w:p>
          <w:p w:rsidR="00137C78" w:rsidRPr="00820972" w:rsidRDefault="00137C78" w:rsidP="00820972">
            <w:pPr>
              <w:rPr>
                <w:b/>
                <w:bCs/>
              </w:rPr>
            </w:pPr>
          </w:p>
        </w:tc>
        <w:tc>
          <w:tcPr>
            <w:tcW w:w="6481" w:type="dxa"/>
          </w:tcPr>
          <w:p w:rsidR="002A7BF6" w:rsidRDefault="00000000">
            <w:r>
              <w:t>14</w:t>
            </w:r>
          </w:p>
        </w:tc>
      </w:tr>
      <w:tr w:rsidR="00137C78" w:rsidTr="00927689">
        <w:tc>
          <w:tcPr>
            <w:tcW w:w="2535" w:type="dxa"/>
          </w:tcPr>
          <w:p w:rsidR="00137C78" w:rsidRPr="00820972" w:rsidRDefault="00727FA9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 xml:space="preserve">Proficiency </w:t>
            </w:r>
            <w:r w:rsidR="00123888" w:rsidRPr="00820972">
              <w:rPr>
                <w:b/>
                <w:bCs/>
              </w:rPr>
              <w:t>Level</w:t>
            </w:r>
          </w:p>
          <w:p w:rsidR="00137C78" w:rsidRPr="00820972" w:rsidRDefault="00137C78" w:rsidP="00820972">
            <w:pPr>
              <w:rPr>
                <w:b/>
                <w:bCs/>
              </w:rPr>
            </w:pPr>
          </w:p>
        </w:tc>
        <w:tc>
          <w:tcPr>
            <w:tcW w:w="6481" w:type="dxa"/>
          </w:tcPr>
          <w:p w:rsidR="002A7BF6" w:rsidRDefault="00000000">
            <w:r>
              <w:t>CEFR B1</w:t>
            </w:r>
          </w:p>
        </w:tc>
      </w:tr>
      <w:tr w:rsidR="00137C78" w:rsidTr="008D17E2">
        <w:trPr>
          <w:trHeight w:val="400"/>
        </w:trPr>
        <w:tc>
          <w:tcPr>
            <w:tcW w:w="2535" w:type="dxa"/>
          </w:tcPr>
          <w:p w:rsidR="00137C78" w:rsidRPr="00820972" w:rsidRDefault="00137C78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>Duration (minutes)</w:t>
            </w:r>
          </w:p>
          <w:p w:rsidR="008D17E2" w:rsidRPr="00820972" w:rsidRDefault="008D17E2" w:rsidP="00820972">
            <w:pPr>
              <w:rPr>
                <w:b/>
                <w:bCs/>
              </w:rPr>
            </w:pPr>
          </w:p>
        </w:tc>
        <w:tc>
          <w:tcPr>
            <w:tcW w:w="6481" w:type="dxa"/>
          </w:tcPr>
          <w:p w:rsidR="002A7BF6" w:rsidRDefault="00000000">
            <w:r>
              <w:t>60</w:t>
            </w:r>
          </w:p>
        </w:tc>
      </w:tr>
      <w:tr w:rsidR="00137C78" w:rsidTr="00927689">
        <w:tc>
          <w:tcPr>
            <w:tcW w:w="2535" w:type="dxa"/>
          </w:tcPr>
          <w:p w:rsidR="00137C78" w:rsidRPr="00820972" w:rsidRDefault="00927689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>Main</w:t>
            </w:r>
            <w:r w:rsidR="00137C78" w:rsidRPr="00820972">
              <w:rPr>
                <w:b/>
                <w:bCs/>
              </w:rPr>
              <w:t xml:space="preserve"> Focus</w:t>
            </w:r>
          </w:p>
          <w:p w:rsidR="00137C78" w:rsidRPr="00820972" w:rsidRDefault="00137C78" w:rsidP="00820972">
            <w:pPr>
              <w:rPr>
                <w:b/>
                <w:bCs/>
              </w:rPr>
            </w:pPr>
          </w:p>
        </w:tc>
        <w:tc>
          <w:tcPr>
            <w:tcW w:w="6481" w:type="dxa"/>
          </w:tcPr>
          <w:p w:rsidR="002A7BF6" w:rsidRDefault="00000000">
            <w:r>
              <w:t>Reading</w:t>
            </w:r>
          </w:p>
        </w:tc>
      </w:tr>
      <w:tr w:rsidR="00693F50" w:rsidTr="00927689">
        <w:tc>
          <w:tcPr>
            <w:tcW w:w="2535" w:type="dxa"/>
          </w:tcPr>
          <w:p w:rsidR="00693F50" w:rsidRPr="00820972" w:rsidRDefault="00693F50" w:rsidP="00820972">
            <w:pPr>
              <w:rPr>
                <w:b/>
                <w:bCs/>
              </w:rPr>
            </w:pPr>
            <w:r w:rsidRPr="00820972">
              <w:rPr>
                <w:b/>
                <w:bCs/>
              </w:rPr>
              <w:t>Materials Neede</w:t>
            </w:r>
            <w:r w:rsidR="008D17E2" w:rsidRPr="00820972">
              <w:rPr>
                <w:b/>
                <w:bCs/>
              </w:rPr>
              <w:t>d</w:t>
            </w:r>
          </w:p>
        </w:tc>
        <w:tc>
          <w:tcPr>
            <w:tcW w:w="6481" w:type="dxa"/>
          </w:tcPr>
          <w:p w:rsidR="002A7BF6" w:rsidRDefault="00000000">
            <w:r>
              <w:t>Newspaper passage: "A Community Festival Celebrates Diversity", Projector or display screen, Whiteboard, Markers</w:t>
            </w:r>
            <w:r>
              <w:br/>
            </w:r>
          </w:p>
        </w:tc>
      </w:tr>
    </w:tbl>
    <w:p w:rsidR="00137C78" w:rsidRDefault="00137C78" w:rsidP="00137C78"/>
    <w:p w:rsidR="00137C78" w:rsidRDefault="00137C78" w:rsidP="00342EAF">
      <w:pPr>
        <w:pStyle w:val="Heading3"/>
      </w:pPr>
      <w:r w:rsidRPr="00B24B4B">
        <w:t>Learning Objectives</w:t>
      </w:r>
    </w:p>
    <w:p w:rsidR="009D65FA" w:rsidRPr="009D65FA" w:rsidRDefault="009D65FA" w:rsidP="009D65FA">
      <w:pPr>
        <w:rPr>
          <w:sz w:val="12"/>
          <w:szCs w:val="12"/>
        </w:rPr>
      </w:pPr>
    </w:p>
    <w:p w:rsidR="00137C78" w:rsidRPr="00342EAF" w:rsidRDefault="00137C78" w:rsidP="00342EAF">
      <w:pPr>
        <w:pStyle w:val="Heading4"/>
      </w:pPr>
      <w:r w:rsidRPr="00342EAF">
        <w:t>Main Aim</w:t>
      </w:r>
    </w:p>
    <w:p w:rsidR="00137C78" w:rsidRPr="00FD2283" w:rsidRDefault="00927689" w:rsidP="00FD2283">
      <w:pPr>
        <w:pStyle w:val="ListParagraph"/>
        <w:numPr>
          <w:ilvl w:val="0"/>
          <w:numId w:val="11"/>
        </w:numPr>
        <w:rPr>
          <w:b/>
          <w:bCs/>
          <w:color w:val="000000" w:themeColor="text1"/>
        </w:rPr>
      </w:pPr>
      <w:r>
        <w:t>Students will be able to understand and summarise key ideas from a B1-level text about cultural festivals and their role in promoting diversity.</w:t>
      </w:r>
    </w:p>
    <w:p w:rsidR="009D65FA" w:rsidRPr="009D65FA" w:rsidRDefault="009D65FA" w:rsidP="00342EAF">
      <w:pPr>
        <w:pStyle w:val="Heading4"/>
        <w:rPr>
          <w:sz w:val="12"/>
          <w:szCs w:val="12"/>
        </w:rPr>
      </w:pPr>
    </w:p>
    <w:p w:rsidR="00137C78" w:rsidRPr="00342EAF" w:rsidRDefault="00137C78" w:rsidP="00342EAF">
      <w:pPr>
        <w:pStyle w:val="Heading4"/>
      </w:pPr>
      <w:r w:rsidRPr="00342EAF">
        <w:t>Sub-Aims</w:t>
      </w:r>
    </w:p>
    <w:p w:rsidR="003640FA" w:rsidRDefault="007C7396" w:rsidP="007C7396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t>Develop scanning and skimming skills to identify main ideas and specific information in a text.</w:t>
      </w:r>
    </w:p>
    <w:p w:rsidR="007C7396" w:rsidRPr="007C7396" w:rsidRDefault="007C7396" w:rsidP="007C7396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t>Enhance vocabulary retention through context-based usage and application in writing.</w:t>
      </w:r>
    </w:p>
    <w:p w:rsidR="007C7396" w:rsidRDefault="007C7396"/>
    <w:p w:rsidR="00F55088" w:rsidRDefault="00F55088" w:rsidP="00F55088"/>
    <w:p w:rsidR="005A79BA" w:rsidRDefault="005A79BA">
      <w:pPr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>
        <w:br w:type="page"/>
      </w:r>
    </w:p>
    <w:p w:rsidR="002E2B5B" w:rsidRDefault="00137C78" w:rsidP="0083779C">
      <w:pPr>
        <w:pStyle w:val="Heading2"/>
      </w:pPr>
      <w:r w:rsidRPr="00137C78">
        <w:lastRenderedPageBreak/>
        <w:t>Section Two: Lesson Procedure</w:t>
      </w:r>
    </w:p>
    <w:p w:rsidR="0083779C" w:rsidRPr="0083779C" w:rsidRDefault="0083779C" w:rsidP="0083779C">
      <w:pPr>
        <w:rPr>
          <w:sz w:val="12"/>
          <w:szCs w:val="12"/>
        </w:rPr>
      </w:pPr>
    </w:p>
    <w:p w:rsidR="0083779C" w:rsidRDefault="00137C78" w:rsidP="00137C78">
      <w:pPr>
        <w:rPr>
          <w:i/>
          <w:iCs/>
          <w:color w:val="000000" w:themeColor="text1"/>
        </w:rPr>
      </w:pPr>
      <w:r w:rsidRPr="00814319">
        <w:rPr>
          <w:i/>
          <w:iCs/>
          <w:color w:val="000000" w:themeColor="text1"/>
        </w:rPr>
        <w:t xml:space="preserve">Guides you through each lesson stage with clear task descriptions and teaching tips. </w:t>
      </w:r>
      <w:r>
        <w:rPr>
          <w:i/>
          <w:iCs/>
          <w:color w:val="000000" w:themeColor="text1"/>
        </w:rPr>
        <w:t>Use this section to help you</w:t>
      </w:r>
      <w:r w:rsidRPr="00814319">
        <w:rPr>
          <w:i/>
          <w:iCs/>
          <w:color w:val="000000" w:themeColor="text1"/>
        </w:rPr>
        <w:t xml:space="preserve"> understand what to do, why, and how to support learners effectively throughout the lesson.</w:t>
      </w:r>
    </w:p>
    <w:p w:rsidR="0083779C" w:rsidRPr="00F208FB" w:rsidRDefault="0083779C" w:rsidP="00137C78">
      <w:pPr>
        <w:rPr>
          <w:i/>
          <w:iCs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2"/>
        <w:gridCol w:w="846"/>
        <w:gridCol w:w="3021"/>
        <w:gridCol w:w="3727"/>
      </w:tblGrid>
      <w:tr w:rsidR="00137C78" w:rsidTr="00342EAF">
        <w:trPr>
          <w:trHeight w:val="416"/>
        </w:trPr>
        <w:tc>
          <w:tcPr>
            <w:tcW w:w="1422" w:type="dxa"/>
          </w:tcPr>
          <w:p w:rsidR="00137C78" w:rsidRPr="00596FB1" w:rsidRDefault="00137C78" w:rsidP="00596FB1">
            <w:pPr>
              <w:rPr>
                <w:b/>
                <w:bCs/>
              </w:rPr>
            </w:pPr>
            <w:r w:rsidRPr="00596FB1">
              <w:rPr>
                <w:b/>
                <w:bCs/>
              </w:rPr>
              <w:t>Stage</w:t>
            </w:r>
          </w:p>
        </w:tc>
        <w:tc>
          <w:tcPr>
            <w:tcW w:w="846" w:type="dxa"/>
          </w:tcPr>
          <w:p w:rsidR="00137C78" w:rsidRPr="00596FB1" w:rsidRDefault="00137C78" w:rsidP="00596FB1">
            <w:pPr>
              <w:rPr>
                <w:b/>
                <w:bCs/>
              </w:rPr>
            </w:pPr>
            <w:r w:rsidRPr="00596FB1">
              <w:rPr>
                <w:b/>
                <w:bCs/>
              </w:rPr>
              <w:t>Time</w:t>
            </w:r>
          </w:p>
        </w:tc>
        <w:tc>
          <w:tcPr>
            <w:tcW w:w="3021" w:type="dxa"/>
          </w:tcPr>
          <w:p w:rsidR="00137C78" w:rsidRPr="00596FB1" w:rsidRDefault="00137C78" w:rsidP="00596FB1">
            <w:pPr>
              <w:rPr>
                <w:b/>
                <w:bCs/>
              </w:rPr>
            </w:pPr>
            <w:r w:rsidRPr="00596FB1">
              <w:rPr>
                <w:b/>
                <w:bCs/>
              </w:rPr>
              <w:t>Description</w:t>
            </w:r>
          </w:p>
        </w:tc>
        <w:tc>
          <w:tcPr>
            <w:tcW w:w="3727" w:type="dxa"/>
          </w:tcPr>
          <w:p w:rsidR="00137C78" w:rsidRPr="00596FB1" w:rsidRDefault="00137C78" w:rsidP="00596FB1">
            <w:pPr>
              <w:rPr>
                <w:b/>
                <w:bCs/>
              </w:rPr>
            </w:pPr>
            <w:r w:rsidRPr="00596FB1">
              <w:rPr>
                <w:b/>
                <w:bCs/>
              </w:rPr>
              <w:t>Teachers Notes</w:t>
            </w:r>
          </w:p>
        </w:tc>
      </w:tr>
      <w:tr w:rsidR="002A7BF6">
        <w:tc>
          <w:tcPr>
            <w:tcW w:w="1422" w:type="dxa"/>
          </w:tcPr>
          <w:p w:rsidR="002A7BF6" w:rsidRDefault="00000000">
            <w:r>
              <w:t>Lead-In</w:t>
            </w:r>
          </w:p>
        </w:tc>
        <w:tc>
          <w:tcPr>
            <w:tcW w:w="846" w:type="dxa"/>
          </w:tcPr>
          <w:p w:rsidR="002A7BF6" w:rsidRDefault="00000000">
            <w:r>
              <w:t>8 mins</w:t>
            </w:r>
          </w:p>
        </w:tc>
        <w:tc>
          <w:tcPr>
            <w:tcW w:w="3021" w:type="dxa"/>
          </w:tcPr>
          <w:p w:rsidR="002A7BF6" w:rsidRDefault="00000000">
            <w:r>
              <w:t>Students discuss in pairs any local or international festivals they have attended and what they enjoyed about them. Each pair shares one festival experience with the class.</w:t>
            </w:r>
          </w:p>
          <w:p w:rsidR="002A7BF6" w:rsidRDefault="002A7BF6"/>
        </w:tc>
        <w:tc>
          <w:tcPr>
            <w:tcW w:w="3727" w:type="dxa"/>
          </w:tcPr>
          <w:p w:rsidR="002A7BF6" w:rsidRDefault="00000000">
            <w:r>
              <w:t>Use ICQs to check understanding of the pair discussion task: "Do we talk about a festival we attended?" (Yes).</w:t>
            </w:r>
          </w:p>
          <w:p w:rsidR="002A7BF6" w:rsidRDefault="002A7BF6"/>
        </w:tc>
      </w:tr>
      <w:tr w:rsidR="002A7BF6">
        <w:tc>
          <w:tcPr>
            <w:tcW w:w="1422" w:type="dxa"/>
          </w:tcPr>
          <w:p w:rsidR="002A7BF6" w:rsidRDefault="00000000">
            <w:r>
              <w:t>Pre-Teach Vocabulary</w:t>
            </w:r>
          </w:p>
        </w:tc>
        <w:tc>
          <w:tcPr>
            <w:tcW w:w="846" w:type="dxa"/>
          </w:tcPr>
          <w:p w:rsidR="002A7BF6" w:rsidRDefault="00000000">
            <w:r>
              <w:t>10 mins</w:t>
            </w:r>
          </w:p>
        </w:tc>
        <w:tc>
          <w:tcPr>
            <w:tcW w:w="3021" w:type="dxa"/>
          </w:tcPr>
          <w:p w:rsidR="002A7BF6" w:rsidRDefault="00000000">
            <w:r>
              <w:t>The teacher introduces the target vocabulary. Meaning, form, and pronunciation is covered for each word or phrase:</w:t>
            </w:r>
          </w:p>
          <w:p w:rsidR="002A7BF6" w:rsidRDefault="002A7BF6"/>
          <w:p w:rsidR="002A7BF6" w:rsidRDefault="00000000">
            <w:r>
              <w:t xml:space="preserve">1. Festival  </w:t>
            </w:r>
          </w:p>
          <w:p w:rsidR="002A7BF6" w:rsidRDefault="00000000">
            <w:r>
              <w:t xml:space="preserve">2. Diversity  </w:t>
            </w:r>
          </w:p>
          <w:p w:rsidR="002A7BF6" w:rsidRDefault="00000000">
            <w:r>
              <w:t xml:space="preserve">3. Community  </w:t>
            </w:r>
          </w:p>
          <w:p w:rsidR="002A7BF6" w:rsidRDefault="00000000">
            <w:r>
              <w:t xml:space="preserve">4. Tradition  </w:t>
            </w:r>
          </w:p>
          <w:p w:rsidR="002A7BF6" w:rsidRDefault="00000000">
            <w:r>
              <w:t xml:space="preserve">5. Inclusivity  </w:t>
            </w:r>
          </w:p>
          <w:p w:rsidR="002A7BF6" w:rsidRDefault="00000000">
            <w:r>
              <w:t xml:space="preserve">6. Cuisine  </w:t>
            </w:r>
          </w:p>
          <w:p w:rsidR="002A7BF6" w:rsidRDefault="00000000">
            <w:r>
              <w:t>7. Celebration</w:t>
            </w:r>
          </w:p>
          <w:p w:rsidR="002A7BF6" w:rsidRDefault="002A7BF6"/>
        </w:tc>
        <w:tc>
          <w:tcPr>
            <w:tcW w:w="3727" w:type="dxa"/>
          </w:tcPr>
          <w:p w:rsidR="002A7BF6" w:rsidRDefault="00000000">
            <w:r>
              <w:t>Refer to the separately provided Language Analysis document for detailed guidance on how to present and check each word effectively.</w:t>
            </w:r>
          </w:p>
          <w:p w:rsidR="002A7BF6" w:rsidRDefault="002A7BF6"/>
        </w:tc>
      </w:tr>
      <w:tr w:rsidR="002A7BF6">
        <w:tc>
          <w:tcPr>
            <w:tcW w:w="1422" w:type="dxa"/>
          </w:tcPr>
          <w:p w:rsidR="002A7BF6" w:rsidRDefault="00000000">
            <w:r>
              <w:t>Gist Reading</w:t>
            </w:r>
          </w:p>
        </w:tc>
        <w:tc>
          <w:tcPr>
            <w:tcW w:w="846" w:type="dxa"/>
          </w:tcPr>
          <w:p w:rsidR="002A7BF6" w:rsidRDefault="00000000">
            <w:r>
              <w:t>8 mins</w:t>
            </w:r>
          </w:p>
        </w:tc>
        <w:tc>
          <w:tcPr>
            <w:tcW w:w="3021" w:type="dxa"/>
          </w:tcPr>
          <w:p w:rsidR="002A7BF6" w:rsidRDefault="00000000">
            <w:r>
              <w:t>Students read the festival article quickly and choose the most appropriate summary from three provided options. They work individually and then compare answers with a partner.</w:t>
            </w:r>
          </w:p>
          <w:p w:rsidR="002A7BF6" w:rsidRDefault="002A7BF6"/>
        </w:tc>
        <w:tc>
          <w:tcPr>
            <w:tcW w:w="3727" w:type="dxa"/>
          </w:tcPr>
          <w:p w:rsidR="002A7BF6" w:rsidRDefault="00000000">
            <w:r>
              <w:t>Use CCQs to confirm students understand the task: "Are we reading for details?" (No).</w:t>
            </w:r>
          </w:p>
          <w:p w:rsidR="002A7BF6" w:rsidRDefault="002A7BF6"/>
        </w:tc>
      </w:tr>
      <w:tr w:rsidR="002A7BF6">
        <w:tc>
          <w:tcPr>
            <w:tcW w:w="1422" w:type="dxa"/>
          </w:tcPr>
          <w:p w:rsidR="002A7BF6" w:rsidRDefault="00000000">
            <w:r>
              <w:t>Detailed Reading</w:t>
            </w:r>
          </w:p>
        </w:tc>
        <w:tc>
          <w:tcPr>
            <w:tcW w:w="846" w:type="dxa"/>
          </w:tcPr>
          <w:p w:rsidR="002A7BF6" w:rsidRDefault="00000000">
            <w:r>
              <w:t>15 mins</w:t>
            </w:r>
          </w:p>
        </w:tc>
        <w:tc>
          <w:tcPr>
            <w:tcW w:w="3021" w:type="dxa"/>
          </w:tcPr>
          <w:p w:rsidR="002A7BF6" w:rsidRDefault="00000000">
            <w:r>
              <w:t xml:space="preserve">Students reread the article carefully and answer six comprehension questions focusing on key facts, the meaning of target vocabulary in context, and the festival's impact on the community. They discuss </w:t>
            </w:r>
            <w:r>
              <w:lastRenderedPageBreak/>
              <w:t>their answers in small groups.</w:t>
            </w:r>
          </w:p>
          <w:p w:rsidR="002A7BF6" w:rsidRDefault="002A7BF6"/>
        </w:tc>
        <w:tc>
          <w:tcPr>
            <w:tcW w:w="3727" w:type="dxa"/>
          </w:tcPr>
          <w:p w:rsidR="002A7BF6" w:rsidRDefault="00000000">
            <w:r>
              <w:lastRenderedPageBreak/>
              <w:t>Use scaffolding techniques by providing sentence starters for students struggling with forming answers.</w:t>
            </w:r>
          </w:p>
          <w:p w:rsidR="002A7BF6" w:rsidRDefault="002A7BF6"/>
        </w:tc>
      </w:tr>
      <w:tr w:rsidR="002A7BF6">
        <w:tc>
          <w:tcPr>
            <w:tcW w:w="1422" w:type="dxa"/>
          </w:tcPr>
          <w:p w:rsidR="002A7BF6" w:rsidRDefault="00000000">
            <w:r>
              <w:t>Post-Reading Task</w:t>
            </w:r>
          </w:p>
        </w:tc>
        <w:tc>
          <w:tcPr>
            <w:tcW w:w="846" w:type="dxa"/>
          </w:tcPr>
          <w:p w:rsidR="002A7BF6" w:rsidRDefault="00000000">
            <w:r>
              <w:t>12 mins</w:t>
            </w:r>
          </w:p>
        </w:tc>
        <w:tc>
          <w:tcPr>
            <w:tcW w:w="3021" w:type="dxa"/>
          </w:tcPr>
          <w:p w:rsidR="002A7BF6" w:rsidRDefault="00000000">
            <w:r>
              <w:t>Students write a paragraph (5–6 sentences) describing a festival they would like to create, using at least four of the target vocabulary words. They work individually and then share their paragraphs with a partner.</w:t>
            </w:r>
          </w:p>
          <w:p w:rsidR="002A7BF6" w:rsidRDefault="002A7BF6"/>
        </w:tc>
        <w:tc>
          <w:tcPr>
            <w:tcW w:w="3727" w:type="dxa"/>
          </w:tcPr>
          <w:p w:rsidR="002A7BF6" w:rsidRDefault="00000000">
            <w:r>
              <w:t>Provide a model paragraph to guide students in structuring their writing.</w:t>
            </w:r>
          </w:p>
          <w:p w:rsidR="002A7BF6" w:rsidRDefault="002A7BF6"/>
        </w:tc>
      </w:tr>
      <w:tr w:rsidR="002A7BF6">
        <w:tc>
          <w:tcPr>
            <w:tcW w:w="1422" w:type="dxa"/>
          </w:tcPr>
          <w:p w:rsidR="002A7BF6" w:rsidRDefault="00000000">
            <w:r>
              <w:t>Reflection</w:t>
            </w:r>
          </w:p>
        </w:tc>
        <w:tc>
          <w:tcPr>
            <w:tcW w:w="846" w:type="dxa"/>
          </w:tcPr>
          <w:p w:rsidR="002A7BF6" w:rsidRDefault="00000000">
            <w:r>
              <w:t>7 mins</w:t>
            </w:r>
          </w:p>
        </w:tc>
        <w:tc>
          <w:tcPr>
            <w:tcW w:w="3021" w:type="dxa"/>
          </w:tcPr>
          <w:p w:rsidR="002A7BF6" w:rsidRDefault="00000000">
            <w:r>
              <w:t>In groups of three, students discuss the benefits of cultural festivals for communities. Each group shares one idea with the class.</w:t>
            </w:r>
          </w:p>
          <w:p w:rsidR="002A7BF6" w:rsidRDefault="002A7BF6"/>
        </w:tc>
        <w:tc>
          <w:tcPr>
            <w:tcW w:w="3727" w:type="dxa"/>
          </w:tcPr>
          <w:p w:rsidR="002A7BF6" w:rsidRDefault="00000000">
            <w:r>
              <w:t>Use ICQs to ensure students understand the group discussion task: "Do we talk about the benefits of festivals?" (Yes).</w:t>
            </w:r>
          </w:p>
          <w:p w:rsidR="002A7BF6" w:rsidRDefault="002A7BF6"/>
        </w:tc>
      </w:tr>
    </w:tbl>
    <w:p w:rsidR="00267F80" w:rsidRDefault="00267F80" w:rsidP="00342EAF">
      <w:pPr>
        <w:pStyle w:val="Heading2"/>
      </w:pPr>
    </w:p>
    <w:p w:rsidR="00E627D5" w:rsidRDefault="00E627D5">
      <w:pPr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>
        <w:br w:type="page"/>
      </w:r>
    </w:p>
    <w:p w:rsidR="00137C78" w:rsidRDefault="00137C78" w:rsidP="00342EAF">
      <w:pPr>
        <w:pStyle w:val="Heading2"/>
      </w:pPr>
      <w:r>
        <w:lastRenderedPageBreak/>
        <w:t xml:space="preserve">Section </w:t>
      </w:r>
      <w:r w:rsidR="00E627D5">
        <w:t>Three</w:t>
      </w:r>
      <w:r>
        <w:t>: Teacher’s Toolkit</w:t>
      </w:r>
    </w:p>
    <w:p w:rsidR="002E2B5B" w:rsidRPr="00650294" w:rsidRDefault="002E2B5B" w:rsidP="00137C78">
      <w:pPr>
        <w:rPr>
          <w:bCs/>
          <w:i/>
          <w:iCs/>
          <w:color w:val="000000" w:themeColor="text1"/>
          <w:sz w:val="12"/>
          <w:szCs w:val="12"/>
        </w:rPr>
      </w:pPr>
    </w:p>
    <w:p w:rsidR="00137C78" w:rsidRDefault="00137C78" w:rsidP="00137C78">
      <w:pPr>
        <w:rPr>
          <w:bCs/>
          <w:i/>
          <w:iCs/>
          <w:color w:val="000000" w:themeColor="text1"/>
        </w:rPr>
      </w:pPr>
      <w:r w:rsidRPr="00B1437D">
        <w:rPr>
          <w:bCs/>
          <w:i/>
          <w:iCs/>
          <w:color w:val="000000" w:themeColor="text1"/>
        </w:rPr>
        <w:t xml:space="preserve">Provides ready-to-use strategies, extension tasks, </w:t>
      </w:r>
      <w:r w:rsidR="00026190">
        <w:rPr>
          <w:bCs/>
          <w:i/>
          <w:iCs/>
          <w:color w:val="000000" w:themeColor="text1"/>
        </w:rPr>
        <w:t xml:space="preserve">and </w:t>
      </w:r>
      <w:r w:rsidRPr="00B1437D">
        <w:rPr>
          <w:bCs/>
          <w:i/>
          <w:iCs/>
          <w:color w:val="000000" w:themeColor="text1"/>
        </w:rPr>
        <w:t>reflection questions. Use this section to enhance your teaching, adapt the lesson as needed, and ensure you’re fully prepared for effective delivery.</w:t>
      </w:r>
    </w:p>
    <w:p w:rsidR="00650294" w:rsidRPr="00906669" w:rsidRDefault="00650294" w:rsidP="00137C78">
      <w:pPr>
        <w:rPr>
          <w:bCs/>
          <w:i/>
          <w:iCs/>
          <w:color w:val="000000" w:themeColor="text1"/>
          <w:sz w:val="12"/>
          <w:szCs w:val="12"/>
        </w:rPr>
      </w:pPr>
    </w:p>
    <w:p w:rsidR="00137C78" w:rsidRPr="00137C78" w:rsidRDefault="00137C78" w:rsidP="00342EAF">
      <w:pPr>
        <w:pStyle w:val="Heading3"/>
      </w:pPr>
      <w:r w:rsidRPr="005B096D">
        <w:t>Assessment for Learning Strategies</w:t>
      </w:r>
    </w:p>
    <w:p w:rsidR="00B02407" w:rsidRDefault="00FC709B" w:rsidP="00082B5A">
      <w:pPr>
        <w:pStyle w:val="ListParagraph"/>
        <w:numPr>
          <w:ilvl w:val="0"/>
          <w:numId w:val="5"/>
        </w:numPr>
        <w:rPr>
          <w:bCs/>
          <w:color w:val="000000" w:themeColor="text1"/>
        </w:rPr>
      </w:pPr>
      <w:r>
        <w:t>Students use coloured cards to show confidence levels after each task—green (clear), yellow (unsure), red (confused).</w:t>
      </w:r>
    </w:p>
    <w:p w:rsidR="00082B5A" w:rsidRPr="00082B5A" w:rsidRDefault="00082B5A" w:rsidP="00082B5A">
      <w:pPr>
        <w:pStyle w:val="ListParagraph"/>
        <w:numPr>
          <w:ilvl w:val="0"/>
          <w:numId w:val="5"/>
        </w:numPr>
        <w:rPr>
          <w:bCs/>
          <w:color w:val="000000" w:themeColor="text1"/>
        </w:rPr>
      </w:pPr>
      <w:r>
        <w:t>Peer feedback: After the writing task, students exchange paragraphs and provide constructive feedback using a simple rubric.</w:t>
      </w:r>
    </w:p>
    <w:p w:rsidR="00FC709B" w:rsidRPr="00342EAF" w:rsidRDefault="00082B5A" w:rsidP="00FC709B">
      <w:pPr>
        <w:pStyle w:val="ListParagraph"/>
        <w:numPr>
          <w:ilvl w:val="0"/>
          <w:numId w:val="5"/>
        </w:numPr>
        <w:rPr>
          <w:bCs/>
          <w:color w:val="000000" w:themeColor="text1"/>
        </w:rPr>
      </w:pPr>
      <w:r>
        <w:t>Quick quizzes: Conduct a short quiz at the end of the lesson to assess vocabulary retention and understanding of key concepts.</w:t>
      </w:r>
    </w:p>
    <w:p w:rsidR="00906669" w:rsidRPr="00906669" w:rsidRDefault="00906669" w:rsidP="00342EAF">
      <w:pPr>
        <w:pStyle w:val="Heading3"/>
        <w:rPr>
          <w:sz w:val="4"/>
          <w:szCs w:val="4"/>
        </w:rPr>
      </w:pPr>
    </w:p>
    <w:p w:rsidR="00137C78" w:rsidRPr="00137C78" w:rsidRDefault="00137C78" w:rsidP="00342EAF">
      <w:pPr>
        <w:pStyle w:val="Heading3"/>
      </w:pPr>
      <w:r w:rsidRPr="005B096D">
        <w:t>Innovative Ways to Modify the Lesson</w:t>
      </w:r>
    </w:p>
    <w:p w:rsidR="00137C78" w:rsidRDefault="00FC709B" w:rsidP="00082B5A">
      <w:pPr>
        <w:pStyle w:val="ListParagraph"/>
        <w:numPr>
          <w:ilvl w:val="0"/>
          <w:numId w:val="6"/>
        </w:numPr>
        <w:rPr>
          <w:bCs/>
          <w:color w:val="000000" w:themeColor="text1"/>
        </w:rPr>
      </w:pPr>
      <w:r>
        <w:t>Integrate technology by having students create a digital poster about a cultural festival using graphic design software.</w:t>
      </w:r>
    </w:p>
    <w:p w:rsidR="00082B5A" w:rsidRPr="00082B5A" w:rsidRDefault="00082B5A" w:rsidP="00082B5A">
      <w:pPr>
        <w:pStyle w:val="ListParagraph"/>
        <w:numPr>
          <w:ilvl w:val="0"/>
          <w:numId w:val="6"/>
        </w:numPr>
        <w:rPr>
          <w:bCs/>
          <w:color w:val="000000" w:themeColor="text1"/>
        </w:rPr>
      </w:pPr>
      <w:r>
        <w:t>Use role-play where students act out a scene from a cultural festival, incorporating the target vocabulary in their dialogue.</w:t>
      </w:r>
    </w:p>
    <w:p w:rsidR="00FC709B" w:rsidRPr="00342EAF" w:rsidRDefault="00082B5A" w:rsidP="00137C78">
      <w:pPr>
        <w:pStyle w:val="ListParagraph"/>
        <w:numPr>
          <w:ilvl w:val="0"/>
          <w:numId w:val="6"/>
        </w:numPr>
        <w:rPr>
          <w:bCs/>
          <w:color w:val="000000" w:themeColor="text1"/>
        </w:rPr>
      </w:pPr>
      <w:r>
        <w:t>Organize a virtual exchange with a class from another country to discuss and compare cultural festivals, promoting global awareness.</w:t>
      </w:r>
    </w:p>
    <w:p w:rsidR="00906669" w:rsidRPr="00906669" w:rsidRDefault="00906669" w:rsidP="00342EAF">
      <w:pPr>
        <w:pStyle w:val="Heading3"/>
        <w:rPr>
          <w:sz w:val="4"/>
          <w:szCs w:val="4"/>
        </w:rPr>
      </w:pPr>
    </w:p>
    <w:p w:rsidR="00B02407" w:rsidRDefault="00137C78" w:rsidP="00342EAF">
      <w:pPr>
        <w:pStyle w:val="Heading3"/>
      </w:pPr>
      <w:r w:rsidRPr="005B096D">
        <w:t>Optional Homework / Extension Task</w:t>
      </w:r>
    </w:p>
    <w:p w:rsidR="00137C78" w:rsidRDefault="00FC709B" w:rsidP="00082B5A">
      <w:pPr>
        <w:pStyle w:val="ListParagraph"/>
        <w:numPr>
          <w:ilvl w:val="0"/>
          <w:numId w:val="7"/>
        </w:numPr>
        <w:rPr>
          <w:bCs/>
          <w:color w:val="000000" w:themeColor="text1"/>
        </w:rPr>
      </w:pPr>
      <w:r>
        <w:t>Write a short essay (200 words) on how cultural festivals promote social harmony and inclusivity in communities.</w:t>
      </w:r>
    </w:p>
    <w:p w:rsidR="00082B5A" w:rsidRDefault="00082B5A" w:rsidP="00082B5A">
      <w:pPr>
        <w:pStyle w:val="ListParagraph"/>
        <w:numPr>
          <w:ilvl w:val="0"/>
          <w:numId w:val="7"/>
        </w:numPr>
        <w:rPr>
          <w:bCs/>
          <w:color w:val="000000" w:themeColor="text1"/>
        </w:rPr>
      </w:pPr>
      <w:r>
        <w:t>Create a festival brochure highlighting three cultural activities and their significance, using at least five target vocabulary words.</w:t>
      </w:r>
    </w:p>
    <w:p w:rsidR="00082B5A" w:rsidRPr="00342EAF" w:rsidRDefault="00082B5A" w:rsidP="00342EAF">
      <w:pPr>
        <w:pStyle w:val="ListParagraph"/>
        <w:numPr>
          <w:ilvl w:val="0"/>
          <w:numId w:val="7"/>
        </w:numPr>
        <w:rPr>
          <w:bCs/>
          <w:color w:val="000000" w:themeColor="text1"/>
        </w:rPr>
      </w:pPr>
      <w:r>
        <w:t>Plan a class cultural festival, assigning roles and tasks, and present the plan in a group presentation.</w:t>
      </w:r>
    </w:p>
    <w:p w:rsidR="00906669" w:rsidRPr="00906669" w:rsidRDefault="00906669" w:rsidP="00342EAF">
      <w:pPr>
        <w:pStyle w:val="Heading3"/>
        <w:rPr>
          <w:sz w:val="4"/>
          <w:szCs w:val="4"/>
        </w:rPr>
      </w:pPr>
    </w:p>
    <w:p w:rsidR="00137C78" w:rsidRDefault="00137C78" w:rsidP="00342EAF">
      <w:pPr>
        <w:pStyle w:val="Heading3"/>
      </w:pPr>
      <w:r w:rsidRPr="005B096D">
        <w:t>Teacher Reflection</w:t>
      </w:r>
    </w:p>
    <w:p w:rsidR="00B02407" w:rsidRDefault="00FC709B" w:rsidP="00082B5A">
      <w:pPr>
        <w:pStyle w:val="ListParagraph"/>
        <w:numPr>
          <w:ilvl w:val="0"/>
          <w:numId w:val="8"/>
        </w:numPr>
        <w:rPr>
          <w:bCs/>
          <w:color w:val="000000" w:themeColor="text1"/>
        </w:rPr>
      </w:pPr>
      <w:r>
        <w:t>How effectively did the students engage with the topic of cultural festivals, and what elements contributed to their interest or disinterest?</w:t>
      </w:r>
    </w:p>
    <w:p w:rsidR="00082B5A" w:rsidRDefault="00082B5A" w:rsidP="00082B5A">
      <w:pPr>
        <w:pStyle w:val="ListParagraph"/>
        <w:numPr>
          <w:ilvl w:val="0"/>
          <w:numId w:val="8"/>
        </w:numPr>
        <w:rPr>
          <w:bCs/>
          <w:color w:val="000000" w:themeColor="text1"/>
        </w:rPr>
      </w:pPr>
      <w:r>
        <w:t>Were the students able to use the target vocabulary accurately in their writing and speaking activities?</w:t>
      </w:r>
    </w:p>
    <w:p w:rsidR="00082B5A" w:rsidRPr="00082B5A" w:rsidRDefault="00082B5A" w:rsidP="00082B5A">
      <w:pPr>
        <w:pStyle w:val="ListParagraph"/>
        <w:numPr>
          <w:ilvl w:val="0"/>
          <w:numId w:val="8"/>
        </w:numPr>
        <w:rPr>
          <w:bCs/>
          <w:color w:val="000000" w:themeColor="text1"/>
        </w:rPr>
      </w:pPr>
      <w:r>
        <w:t>What additional support could I provide to enhance students' comprehension and application of vocabulary in future lessons?</w:t>
      </w:r>
    </w:p>
    <w:p w:rsidR="00082B5A" w:rsidRDefault="00082B5A" w:rsidP="00137C78">
      <w:pPr>
        <w:rPr>
          <w:bCs/>
          <w:color w:val="000000" w:themeColor="text1"/>
        </w:rPr>
      </w:pPr>
    </w:p>
    <w:sectPr w:rsidR="00082B5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6614" w:rsidRDefault="00016614" w:rsidP="00123888">
      <w:r>
        <w:separator/>
      </w:r>
    </w:p>
  </w:endnote>
  <w:endnote w:type="continuationSeparator" w:id="0">
    <w:p w:rsidR="00016614" w:rsidRDefault="00016614" w:rsidP="0012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6614" w:rsidRDefault="00016614" w:rsidP="00123888">
      <w:r>
        <w:separator/>
      </w:r>
    </w:p>
  </w:footnote>
  <w:footnote w:type="continuationSeparator" w:id="0">
    <w:p w:rsidR="00016614" w:rsidRDefault="00016614" w:rsidP="00123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67210" w:rsidRDefault="0076721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9D3C60">
          <wp:simplePos x="0" y="0"/>
          <wp:positionH relativeFrom="column">
            <wp:posOffset>0</wp:posOffset>
          </wp:positionH>
          <wp:positionV relativeFrom="paragraph">
            <wp:posOffset>-90311</wp:posOffset>
          </wp:positionV>
          <wp:extent cx="748800" cy="259200"/>
          <wp:effectExtent l="0" t="0" r="635" b="0"/>
          <wp:wrapSquare wrapText="bothSides"/>
          <wp:docPr id="43878384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83840" name="Picture 43878384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2" t="12616" r="17658" b="16075"/>
                  <a:stretch>
                    <a:fillRect/>
                  </a:stretch>
                </pic:blipFill>
                <pic:spPr bwMode="auto">
                  <a:xfrm>
                    <a:off x="0" y="0"/>
                    <a:ext cx="748800" cy="25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990"/>
    <w:multiLevelType w:val="hybridMultilevel"/>
    <w:tmpl w:val="0B0E6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703"/>
    <w:multiLevelType w:val="hybridMultilevel"/>
    <w:tmpl w:val="799E3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E23CC"/>
    <w:multiLevelType w:val="hybridMultilevel"/>
    <w:tmpl w:val="2626D3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6929AB"/>
    <w:multiLevelType w:val="hybridMultilevel"/>
    <w:tmpl w:val="85882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66E15"/>
    <w:multiLevelType w:val="hybridMultilevel"/>
    <w:tmpl w:val="B71E7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F440C"/>
    <w:multiLevelType w:val="hybridMultilevel"/>
    <w:tmpl w:val="9C7A8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E74C3"/>
    <w:multiLevelType w:val="hybridMultilevel"/>
    <w:tmpl w:val="422CE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53080"/>
    <w:multiLevelType w:val="hybridMultilevel"/>
    <w:tmpl w:val="C47C3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9598F"/>
    <w:multiLevelType w:val="hybridMultilevel"/>
    <w:tmpl w:val="324E2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233E6"/>
    <w:multiLevelType w:val="hybridMultilevel"/>
    <w:tmpl w:val="68DC1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62B87"/>
    <w:multiLevelType w:val="hybridMultilevel"/>
    <w:tmpl w:val="15223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906801">
    <w:abstractNumId w:val="4"/>
  </w:num>
  <w:num w:numId="2" w16cid:durableId="1020470411">
    <w:abstractNumId w:val="1"/>
  </w:num>
  <w:num w:numId="3" w16cid:durableId="2083676320">
    <w:abstractNumId w:val="2"/>
  </w:num>
  <w:num w:numId="4" w16cid:durableId="1389450480">
    <w:abstractNumId w:val="8"/>
  </w:num>
  <w:num w:numId="5" w16cid:durableId="901015156">
    <w:abstractNumId w:val="6"/>
  </w:num>
  <w:num w:numId="6" w16cid:durableId="878518570">
    <w:abstractNumId w:val="10"/>
  </w:num>
  <w:num w:numId="7" w16cid:durableId="2127461203">
    <w:abstractNumId w:val="0"/>
  </w:num>
  <w:num w:numId="8" w16cid:durableId="615524736">
    <w:abstractNumId w:val="7"/>
  </w:num>
  <w:num w:numId="9" w16cid:durableId="871843129">
    <w:abstractNumId w:val="9"/>
  </w:num>
  <w:num w:numId="10" w16cid:durableId="752051551">
    <w:abstractNumId w:val="3"/>
  </w:num>
  <w:num w:numId="11" w16cid:durableId="3642520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78"/>
    <w:rsid w:val="00000C41"/>
    <w:rsid w:val="00001CE5"/>
    <w:rsid w:val="00016614"/>
    <w:rsid w:val="00016A17"/>
    <w:rsid w:val="00026190"/>
    <w:rsid w:val="00082B5A"/>
    <w:rsid w:val="00094EB8"/>
    <w:rsid w:val="000E2976"/>
    <w:rsid w:val="000E64C9"/>
    <w:rsid w:val="0010162A"/>
    <w:rsid w:val="00123888"/>
    <w:rsid w:val="00136A1C"/>
    <w:rsid w:val="00137C78"/>
    <w:rsid w:val="0014541E"/>
    <w:rsid w:val="001F6C40"/>
    <w:rsid w:val="002039CC"/>
    <w:rsid w:val="00267F80"/>
    <w:rsid w:val="00271F32"/>
    <w:rsid w:val="002A7BF6"/>
    <w:rsid w:val="002C1656"/>
    <w:rsid w:val="002E2B5B"/>
    <w:rsid w:val="00300F39"/>
    <w:rsid w:val="00323C2E"/>
    <w:rsid w:val="0033784C"/>
    <w:rsid w:val="00342EAF"/>
    <w:rsid w:val="003640FA"/>
    <w:rsid w:val="003750CB"/>
    <w:rsid w:val="003A36F8"/>
    <w:rsid w:val="003C355D"/>
    <w:rsid w:val="003D3BFE"/>
    <w:rsid w:val="00462A48"/>
    <w:rsid w:val="00475846"/>
    <w:rsid w:val="00475F00"/>
    <w:rsid w:val="00491B7E"/>
    <w:rsid w:val="004B3536"/>
    <w:rsid w:val="004D2604"/>
    <w:rsid w:val="004D7774"/>
    <w:rsid w:val="004E4840"/>
    <w:rsid w:val="004F26EF"/>
    <w:rsid w:val="00573D57"/>
    <w:rsid w:val="00596FB1"/>
    <w:rsid w:val="005A79BA"/>
    <w:rsid w:val="005B51AB"/>
    <w:rsid w:val="005F2138"/>
    <w:rsid w:val="00650294"/>
    <w:rsid w:val="00693F50"/>
    <w:rsid w:val="00695739"/>
    <w:rsid w:val="00727FA9"/>
    <w:rsid w:val="00741BBF"/>
    <w:rsid w:val="00767043"/>
    <w:rsid w:val="00767210"/>
    <w:rsid w:val="0078434F"/>
    <w:rsid w:val="00794801"/>
    <w:rsid w:val="007A3420"/>
    <w:rsid w:val="007C7396"/>
    <w:rsid w:val="00813ED4"/>
    <w:rsid w:val="00820972"/>
    <w:rsid w:val="0083779C"/>
    <w:rsid w:val="00844E96"/>
    <w:rsid w:val="00897F33"/>
    <w:rsid w:val="008C47DD"/>
    <w:rsid w:val="008D17E2"/>
    <w:rsid w:val="00906669"/>
    <w:rsid w:val="00924BD9"/>
    <w:rsid w:val="0092594E"/>
    <w:rsid w:val="00927689"/>
    <w:rsid w:val="00957A6F"/>
    <w:rsid w:val="009935B2"/>
    <w:rsid w:val="009D65FA"/>
    <w:rsid w:val="009E457E"/>
    <w:rsid w:val="00A82C05"/>
    <w:rsid w:val="00AD67ED"/>
    <w:rsid w:val="00B02407"/>
    <w:rsid w:val="00B16DB7"/>
    <w:rsid w:val="00B43A13"/>
    <w:rsid w:val="00B831BC"/>
    <w:rsid w:val="00BA20FF"/>
    <w:rsid w:val="00BA75B6"/>
    <w:rsid w:val="00C14578"/>
    <w:rsid w:val="00C45DA9"/>
    <w:rsid w:val="00C501B6"/>
    <w:rsid w:val="00CA2A89"/>
    <w:rsid w:val="00CF1B16"/>
    <w:rsid w:val="00D11790"/>
    <w:rsid w:val="00D17544"/>
    <w:rsid w:val="00D51B06"/>
    <w:rsid w:val="00D94D27"/>
    <w:rsid w:val="00D97413"/>
    <w:rsid w:val="00D97BC7"/>
    <w:rsid w:val="00DD1B5F"/>
    <w:rsid w:val="00DE124A"/>
    <w:rsid w:val="00DE79C8"/>
    <w:rsid w:val="00DF1D96"/>
    <w:rsid w:val="00DF6522"/>
    <w:rsid w:val="00E04800"/>
    <w:rsid w:val="00E627D5"/>
    <w:rsid w:val="00E74BF0"/>
    <w:rsid w:val="00ED06C5"/>
    <w:rsid w:val="00EF00E1"/>
    <w:rsid w:val="00F208FB"/>
    <w:rsid w:val="00F2790D"/>
    <w:rsid w:val="00F55088"/>
    <w:rsid w:val="00F9010F"/>
    <w:rsid w:val="00FC2A9E"/>
    <w:rsid w:val="00FC6934"/>
    <w:rsid w:val="00FC709B"/>
    <w:rsid w:val="00FD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6C1A94D-076A-534B-9FCE-E269956D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C78"/>
  </w:style>
  <w:style w:type="paragraph" w:styleId="Heading1">
    <w:name w:val="heading 1"/>
    <w:basedOn w:val="Normal"/>
    <w:next w:val="Normal"/>
    <w:link w:val="Heading1Char"/>
    <w:uiPriority w:val="9"/>
    <w:qFormat/>
    <w:rsid w:val="00B43A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3A13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4EB8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3D57"/>
    <w:pPr>
      <w:keepNext/>
      <w:keepLines/>
      <w:spacing w:before="160" w:after="12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7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7C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38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888"/>
  </w:style>
  <w:style w:type="paragraph" w:styleId="Footer">
    <w:name w:val="footer"/>
    <w:basedOn w:val="Normal"/>
    <w:link w:val="FooterChar"/>
    <w:uiPriority w:val="99"/>
    <w:unhideWhenUsed/>
    <w:rsid w:val="001238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888"/>
  </w:style>
  <w:style w:type="character" w:customStyle="1" w:styleId="Heading1Char">
    <w:name w:val="Heading 1 Char"/>
    <w:basedOn w:val="DefaultParagraphFont"/>
    <w:link w:val="Heading1"/>
    <w:uiPriority w:val="9"/>
    <w:rsid w:val="00B43A13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3A13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4E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573D5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Moffat</dc:creator>
  <cp:keywords/>
  <dc:description/>
  <cp:lastModifiedBy>Tom Moffat</cp:lastModifiedBy>
  <cp:revision>3</cp:revision>
  <dcterms:created xsi:type="dcterms:W3CDTF">2025-09-16T08:37:00Z</dcterms:created>
  <dcterms:modified xsi:type="dcterms:W3CDTF">2025-09-16T08:45:00Z</dcterms:modified>
</cp:coreProperties>
</file>